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43 m3/h，纯度99.5%，工作压力6 KG/CM2的退火炉用制氮机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4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苏州希特已经安装了用于退火炉的制氮机，其纯度为99.5%，工作压力为6KG/CM2，退火量为43m3/h。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用于退火的希特制氮机技术是加热到并保持在一个合适的温度，然后以合适的速度冷却，以达到降低硬度、改善可加工性、促进冷加工、产生理想的微观结构或获得理想的机械、物理或其他性能等目的。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希特退火可以在各种不同的炉子气氛中进行，这取决于所涉及的材料，包括燃烧产物、氮气、氮气/氢气混合物、放热和内热气体、离析氨（或氮气稀释的离析氨）、氢气和真空。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以下是其他通用名称和相关主题。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等温退火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亚临界退火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工艺退火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软化稳定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再结晶退火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球状体退火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苏州希特公司出售的用于退火炉的产品范围为</w:t>
      </w:r>
    </w:p>
    <w:tbl>
      <w:tblPr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firstRow="0" w:lastRow="0" w:firstColumn="0" w:lastColumn="0" w:noHBand="1" w:noVBand="1"/>
      </w:tblPr>
      <w:tblGrid/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型号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容量 m3/h</w:t>
            </w:r>
          </w:p>
        </w:tc>
      </w:tr>
      <w:tr>
        <w:trPr/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XTFD-40-50</w:t>
            </w:r>
          </w:p>
        </w:tc>
        <w:tc>
          <w:tcPr>
            <w:tcW w:type="auto" w:w="0"/>
            <w:shd w:val="clear" w:color="auto" w:fill="auto"/>
            <w:vAlign w:val="center"/>
          </w:tcPr>
          <w:p>
            <w:pPr>
              <w:pStyle w:val="Normal(Web)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spacing w:beforeAutospacing="1" w:afterAutospacing="1" w:line="360" w:lineRule="atLeast"/>
              <w:rPr>
                <w:vanish w:val="0"/>
              </w:rPr>
            </w:pPr>
            <w:r>
              <w:t xml:space="preserve">43 m3/h</w:t>
            </w:r>
          </w:p>
        </w:tc>
      </w:tr>
    </w:tbl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  <w:r>
        <w:rPr/>
        <w:br/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0" w:line="360" w:lineRule="atLeast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2024-05-19T14:30:35Z</dcterms:created>
  <dcterms:modified xsi:type="dcterms:W3CDTF">2024-05-19T14:30:35Z</dcterms:modified>
</cp:coreProperties>
</file>