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液氧装罐前的储槽检查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4" type="#_x0000_t75" style="height:0;width:337.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液氧在装罐前,对其储槽在投入使用前,应进行气密性试验,吹除处理及阀门仪表的检验.下面由小编为您详细介绍一下液氧装罐前的对储槽检查工作.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1、吹除处理.气密性试验合格后,需用干燥无油的空气对储槽内筒系统进行吹除处理.用以去除潮湿空气,排出气露点应不高于-40℃.注意吹除时,凡有外接关口都应排气,以清除管阀中的机械杂质及潮湿空气.系统在用干燥空气或干燥氮气吹除之后,还应用产品气体吹除,直至排出气体纯度达到要求为止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</w:pPr>
      <w:r>
        <w:rPr>
          <w:rFonts w:ascii="arial" w:eastAsia="arial" w:hAnsi="arial" w:cs="arial"/>
          <w:color w:val="404040"/>
          <w:sz w:val="27"/>
        </w:rPr>
        <w:t xml:space="preserve">2、阀门仪表的检查.在充入低温液体前,必须认真检查阀门是否处于正确的启闭状态,仪表指示是否正确,否则应予以调整.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rPr>
          <w:rFonts w:ascii="arial" w:eastAsia="arial" w:hAnsi="arial" w:cs="arial"/>
          <w:color w:val="404040"/>
          <w:sz w:val="27"/>
        </w:rPr>
        <w:t xml:space="preserve">3、气密性试验.储槽完成安装,或者内筒恢复常温后,在充入低温液体前应进行系统气密性试验,试验压力为储槽的最高工作压力,试验用气为无油干燥空气或干氮气,试验时间不得小于4小时.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2024-04-25T15:11:51Z</dcterms:created>
  <dcterms:modified xsi:type="dcterms:W3CDTF">2024-04-25T15:11:51Z</dcterms:modified>
</cp:coreProperties>
</file>